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B5F2" w14:textId="1C6F8A28" w:rsidR="008B79F6" w:rsidRPr="00C6669B" w:rsidRDefault="008B79F6" w:rsidP="00226972">
      <w:pPr>
        <w:jc w:val="center"/>
        <w:rPr>
          <w:b/>
          <w:u w:val="single"/>
        </w:rPr>
      </w:pPr>
      <w:r w:rsidRPr="00C6669B">
        <w:rPr>
          <w:b/>
          <w:u w:val="single"/>
        </w:rPr>
        <w:t>MELBURY OSMOND UNITED CHARITIES</w:t>
      </w:r>
    </w:p>
    <w:p w14:paraId="2A00D0D1" w14:textId="77777777" w:rsidR="008B79F6" w:rsidRPr="00C6669B" w:rsidRDefault="008B79F6" w:rsidP="008B79F6">
      <w:pPr>
        <w:jc w:val="center"/>
        <w:rPr>
          <w:b/>
          <w:bCs/>
        </w:rPr>
      </w:pPr>
      <w:r w:rsidRPr="00C6669B">
        <w:rPr>
          <w:b/>
          <w:bCs/>
        </w:rPr>
        <w:t>REPORT FOR MELBURY OSMOND PARISH COUNCIL MEETING</w:t>
      </w:r>
    </w:p>
    <w:p w14:paraId="7C57BBD6" w14:textId="1617B294" w:rsidR="008B79F6" w:rsidRPr="00C6669B" w:rsidRDefault="0033380A" w:rsidP="008B79F6">
      <w:pPr>
        <w:jc w:val="center"/>
        <w:rPr>
          <w:b/>
          <w:bCs/>
        </w:rPr>
      </w:pPr>
      <w:r w:rsidRPr="00C6669B">
        <w:rPr>
          <w:b/>
          <w:bCs/>
        </w:rPr>
        <w:t xml:space="preserve">TUESDAY </w:t>
      </w:r>
      <w:r w:rsidR="0016496D">
        <w:rPr>
          <w:b/>
          <w:bCs/>
        </w:rPr>
        <w:t>11</w:t>
      </w:r>
      <w:r w:rsidR="0016496D" w:rsidRPr="0016496D">
        <w:rPr>
          <w:b/>
          <w:bCs/>
          <w:vertAlign w:val="superscript"/>
        </w:rPr>
        <w:t>th</w:t>
      </w:r>
      <w:r w:rsidR="0016496D">
        <w:rPr>
          <w:b/>
          <w:bCs/>
        </w:rPr>
        <w:t xml:space="preserve"> JUNE 2024 </w:t>
      </w:r>
      <w:r w:rsidRPr="00C6669B">
        <w:rPr>
          <w:b/>
          <w:bCs/>
        </w:rPr>
        <w:t xml:space="preserve"> </w:t>
      </w:r>
    </w:p>
    <w:p w14:paraId="15D917BC" w14:textId="77777777" w:rsidR="008B79F6" w:rsidRPr="00C6669B" w:rsidRDefault="008B79F6" w:rsidP="008B79F6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810"/>
      </w:tblGrid>
      <w:tr w:rsidR="00C6669B" w:rsidRPr="00C6669B" w14:paraId="17634C92" w14:textId="77777777" w:rsidTr="0033380A">
        <w:tc>
          <w:tcPr>
            <w:tcW w:w="1216" w:type="dxa"/>
          </w:tcPr>
          <w:p w14:paraId="44703680" w14:textId="77777777" w:rsidR="00986717" w:rsidRPr="00C6669B" w:rsidRDefault="00986717" w:rsidP="008B79F6">
            <w:pPr>
              <w:jc w:val="both"/>
            </w:pPr>
            <w:r w:rsidRPr="00C6669B">
              <w:t>1.</w:t>
            </w:r>
          </w:p>
        </w:tc>
        <w:tc>
          <w:tcPr>
            <w:tcW w:w="7810" w:type="dxa"/>
          </w:tcPr>
          <w:p w14:paraId="1FE7B6FA" w14:textId="53CF1BFD" w:rsidR="00986717" w:rsidRPr="00C6669B" w:rsidRDefault="00B13216" w:rsidP="00B13216">
            <w:pPr>
              <w:jc w:val="both"/>
            </w:pPr>
            <w:r w:rsidRPr="00C6669B">
              <w:t>Annual Return for period 01.01.</w:t>
            </w:r>
            <w:r w:rsidR="0033380A" w:rsidRPr="00C6669B">
              <w:t>2</w:t>
            </w:r>
            <w:r w:rsidR="00B62BE2">
              <w:t>2</w:t>
            </w:r>
            <w:r w:rsidRPr="00C6669B">
              <w:t xml:space="preserve"> to 31.12.</w:t>
            </w:r>
            <w:r w:rsidR="0033380A" w:rsidRPr="00C6669B">
              <w:t>2</w:t>
            </w:r>
            <w:r w:rsidR="00B62BE2">
              <w:t>2</w:t>
            </w:r>
            <w:r w:rsidRPr="00C6669B">
              <w:t xml:space="preserve"> submitted to Charity Commission on </w:t>
            </w:r>
            <w:r w:rsidR="00B62BE2">
              <w:t>30</w:t>
            </w:r>
            <w:r w:rsidR="00B62BE2" w:rsidRPr="00B62BE2">
              <w:rPr>
                <w:vertAlign w:val="superscript"/>
              </w:rPr>
              <w:t>th</w:t>
            </w:r>
            <w:r w:rsidR="00B62BE2">
              <w:t xml:space="preserve"> </w:t>
            </w:r>
            <w:r w:rsidR="007A1BE2" w:rsidRPr="00C6669B">
              <w:t>October 2022</w:t>
            </w:r>
            <w:r w:rsidR="00512117" w:rsidRPr="00C6669B">
              <w:t>.  Income reported of £</w:t>
            </w:r>
            <w:r w:rsidR="007A1BE2" w:rsidRPr="00C6669B">
              <w:t>3</w:t>
            </w:r>
            <w:r w:rsidR="005E766A">
              <w:t>8</w:t>
            </w:r>
            <w:r w:rsidR="007A1BE2" w:rsidRPr="00C6669B">
              <w:t>.00</w:t>
            </w:r>
            <w:r w:rsidR="00CA6BEB" w:rsidRPr="00C6669B">
              <w:t xml:space="preserve"> (see attached)</w:t>
            </w:r>
            <w:r w:rsidR="00512117" w:rsidRPr="00C6669B">
              <w:t xml:space="preserve">.  No distribution of funds made.  </w:t>
            </w:r>
          </w:p>
        </w:tc>
      </w:tr>
      <w:tr w:rsidR="00C6669B" w:rsidRPr="00C6669B" w14:paraId="7F66F5D4" w14:textId="77777777" w:rsidTr="0033380A">
        <w:tc>
          <w:tcPr>
            <w:tcW w:w="1216" w:type="dxa"/>
          </w:tcPr>
          <w:p w14:paraId="742E6088" w14:textId="77777777" w:rsidR="008B79F6" w:rsidRPr="00C6669B" w:rsidRDefault="008B79F6" w:rsidP="008B79F6">
            <w:pPr>
              <w:jc w:val="both"/>
            </w:pPr>
          </w:p>
        </w:tc>
        <w:tc>
          <w:tcPr>
            <w:tcW w:w="7810" w:type="dxa"/>
          </w:tcPr>
          <w:p w14:paraId="323A3DF0" w14:textId="77777777" w:rsidR="008B79F6" w:rsidRPr="00C6669B" w:rsidRDefault="008B79F6" w:rsidP="008B79F6">
            <w:pPr>
              <w:jc w:val="both"/>
            </w:pPr>
          </w:p>
        </w:tc>
      </w:tr>
      <w:tr w:rsidR="00C6669B" w:rsidRPr="00C6669B" w14:paraId="759ECA1F" w14:textId="77777777" w:rsidTr="0033380A">
        <w:tc>
          <w:tcPr>
            <w:tcW w:w="1216" w:type="dxa"/>
          </w:tcPr>
          <w:p w14:paraId="2BF1B775" w14:textId="047522D4" w:rsidR="008B79F6" w:rsidRPr="00C6669B" w:rsidRDefault="00E34B9C" w:rsidP="008B79F6">
            <w:pPr>
              <w:jc w:val="both"/>
            </w:pPr>
            <w:r>
              <w:t>2.</w:t>
            </w:r>
          </w:p>
        </w:tc>
        <w:tc>
          <w:tcPr>
            <w:tcW w:w="7810" w:type="dxa"/>
          </w:tcPr>
          <w:p w14:paraId="7317DDA4" w14:textId="703FB584" w:rsidR="0087308D" w:rsidRPr="00C6669B" w:rsidRDefault="008B79F6" w:rsidP="008B79F6">
            <w:pPr>
              <w:jc w:val="both"/>
            </w:pPr>
            <w:r w:rsidRPr="00C6669B">
              <w:t>Next Annual Return for period 01.01.</w:t>
            </w:r>
            <w:r w:rsidR="0033380A" w:rsidRPr="00C6669B">
              <w:t>2</w:t>
            </w:r>
            <w:r w:rsidR="005E766A">
              <w:t>3</w:t>
            </w:r>
            <w:r w:rsidRPr="00C6669B">
              <w:t xml:space="preserve"> to 31.12.</w:t>
            </w:r>
            <w:r w:rsidR="0033380A" w:rsidRPr="00C6669B">
              <w:t>2</w:t>
            </w:r>
            <w:r w:rsidR="005E766A">
              <w:t>3</w:t>
            </w:r>
            <w:r w:rsidRPr="00C6669B">
              <w:t xml:space="preserve"> due by 30</w:t>
            </w:r>
            <w:r w:rsidRPr="00C6669B">
              <w:rPr>
                <w:vertAlign w:val="superscript"/>
              </w:rPr>
              <w:t>th</w:t>
            </w:r>
            <w:r w:rsidRPr="00C6669B">
              <w:t xml:space="preserve"> October 20</w:t>
            </w:r>
            <w:r w:rsidR="0033380A" w:rsidRPr="00C6669B">
              <w:t>2</w:t>
            </w:r>
            <w:r w:rsidR="005E766A">
              <w:t>4</w:t>
            </w:r>
            <w:r w:rsidRPr="00C6669B">
              <w:t xml:space="preserve">.  </w:t>
            </w:r>
          </w:p>
        </w:tc>
      </w:tr>
      <w:tr w:rsidR="00C6669B" w:rsidRPr="00C6669B" w14:paraId="3EF17CAC" w14:textId="77777777" w:rsidTr="0033380A">
        <w:tc>
          <w:tcPr>
            <w:tcW w:w="1216" w:type="dxa"/>
          </w:tcPr>
          <w:p w14:paraId="67BCF6AE" w14:textId="77777777" w:rsidR="00F516C5" w:rsidRPr="00C6669B" w:rsidRDefault="00F516C5" w:rsidP="008B79F6">
            <w:pPr>
              <w:jc w:val="both"/>
            </w:pPr>
          </w:p>
        </w:tc>
        <w:tc>
          <w:tcPr>
            <w:tcW w:w="7810" w:type="dxa"/>
          </w:tcPr>
          <w:p w14:paraId="57504EF2" w14:textId="77777777" w:rsidR="00F516C5" w:rsidRPr="00C6669B" w:rsidRDefault="00F516C5" w:rsidP="008B79F6">
            <w:pPr>
              <w:jc w:val="both"/>
            </w:pPr>
          </w:p>
        </w:tc>
      </w:tr>
      <w:tr w:rsidR="00C6669B" w:rsidRPr="00C6669B" w14:paraId="35404A79" w14:textId="77777777" w:rsidTr="0033380A">
        <w:tc>
          <w:tcPr>
            <w:tcW w:w="1216" w:type="dxa"/>
          </w:tcPr>
          <w:p w14:paraId="51489565" w14:textId="0BBC1592" w:rsidR="00F516C5" w:rsidRPr="00C6669B" w:rsidRDefault="00E34B9C" w:rsidP="008B79F6">
            <w:pPr>
              <w:jc w:val="both"/>
            </w:pPr>
            <w:r>
              <w:t>3.</w:t>
            </w:r>
          </w:p>
          <w:p w14:paraId="68982565" w14:textId="77777777" w:rsidR="00C40D76" w:rsidRPr="00C6669B" w:rsidRDefault="00C40D76" w:rsidP="008B79F6">
            <w:pPr>
              <w:jc w:val="both"/>
            </w:pPr>
          </w:p>
          <w:p w14:paraId="2FDF8E80" w14:textId="77777777" w:rsidR="00C40D76" w:rsidRPr="00C6669B" w:rsidRDefault="00C40D76" w:rsidP="008B79F6">
            <w:pPr>
              <w:jc w:val="both"/>
            </w:pPr>
          </w:p>
          <w:p w14:paraId="2E6A932D" w14:textId="77777777" w:rsidR="00C40D76" w:rsidRPr="00C6669B" w:rsidRDefault="00C40D76" w:rsidP="008B79F6">
            <w:pPr>
              <w:jc w:val="both"/>
            </w:pPr>
          </w:p>
          <w:p w14:paraId="499CF48C" w14:textId="77777777" w:rsidR="00C40D76" w:rsidRPr="00C6669B" w:rsidRDefault="00C40D76" w:rsidP="008B79F6">
            <w:pPr>
              <w:jc w:val="both"/>
            </w:pPr>
          </w:p>
          <w:p w14:paraId="255E787A" w14:textId="27D2045B" w:rsidR="00C40D76" w:rsidRPr="00C6669B" w:rsidRDefault="00E34B9C" w:rsidP="008B79F6">
            <w:pPr>
              <w:jc w:val="both"/>
            </w:pPr>
            <w:r>
              <w:t>4</w:t>
            </w:r>
            <w:r w:rsidR="00487B15">
              <w:t>.</w:t>
            </w:r>
          </w:p>
          <w:p w14:paraId="34409D17" w14:textId="77777777" w:rsidR="00C40D76" w:rsidRPr="00C6669B" w:rsidRDefault="00C40D76" w:rsidP="008B79F6">
            <w:pPr>
              <w:jc w:val="both"/>
            </w:pPr>
          </w:p>
        </w:tc>
        <w:tc>
          <w:tcPr>
            <w:tcW w:w="7810" w:type="dxa"/>
          </w:tcPr>
          <w:p w14:paraId="2DD73ABF" w14:textId="27E06DB4" w:rsidR="00F516C5" w:rsidRPr="00C6669B" w:rsidRDefault="00C40D76" w:rsidP="00F516C5">
            <w:pPr>
              <w:jc w:val="both"/>
            </w:pPr>
            <w:r w:rsidRPr="00C6669B">
              <w:t xml:space="preserve">No progress to report in </w:t>
            </w:r>
            <w:r w:rsidR="00F516C5" w:rsidRPr="00C6669B">
              <w:t>wind</w:t>
            </w:r>
            <w:r w:rsidRPr="00C6669B">
              <w:t>ing</w:t>
            </w:r>
            <w:r w:rsidR="00F516C5" w:rsidRPr="00C6669B">
              <w:t xml:space="preserve"> </w:t>
            </w:r>
            <w:r w:rsidRPr="00C6669B">
              <w:t xml:space="preserve">up the five Charities.  </w:t>
            </w:r>
            <w:r w:rsidR="00CA6BEB" w:rsidRPr="00C6669B">
              <w:t xml:space="preserve">An approach </w:t>
            </w:r>
            <w:proofErr w:type="gramStart"/>
            <w:r w:rsidR="00CA6BEB" w:rsidRPr="00C6669B">
              <w:t xml:space="preserve">to </w:t>
            </w:r>
            <w:r w:rsidR="00F516C5" w:rsidRPr="00C6669B">
              <w:t xml:space="preserve"> Hon.</w:t>
            </w:r>
            <w:proofErr w:type="gramEnd"/>
            <w:r w:rsidR="00F516C5" w:rsidRPr="00C6669B">
              <w:t xml:space="preserve"> Charlotte Townshend </w:t>
            </w:r>
            <w:r w:rsidR="00CA6BEB" w:rsidRPr="00C6669B">
              <w:t>in respect of</w:t>
            </w:r>
            <w:r w:rsidRPr="00C6669B">
              <w:t xml:space="preserve"> securing assistance from </w:t>
            </w:r>
            <w:r w:rsidR="00F516C5" w:rsidRPr="00C6669B">
              <w:t>her solicitors open</w:t>
            </w:r>
            <w:r w:rsidR="00CA6BEB" w:rsidRPr="00C6669B">
              <w:t>ing</w:t>
            </w:r>
            <w:r w:rsidR="00F516C5" w:rsidRPr="00C6669B">
              <w:t xml:space="preserve"> a line of communication to assist in winding up MOUC and the f</w:t>
            </w:r>
            <w:r w:rsidR="00CA6BEB" w:rsidRPr="00C6669B">
              <w:t xml:space="preserve">our </w:t>
            </w:r>
            <w:r w:rsidR="00F516C5" w:rsidRPr="00C6669B">
              <w:t>individual charities</w:t>
            </w:r>
            <w:r w:rsidR="00CA6BEB" w:rsidRPr="00C6669B">
              <w:t xml:space="preserve"> </w:t>
            </w:r>
            <w:r w:rsidR="00E632A8">
              <w:t xml:space="preserve">still </w:t>
            </w:r>
            <w:r w:rsidR="00CA6BEB" w:rsidRPr="00C6669B">
              <w:t xml:space="preserve">remains outstanding.  </w:t>
            </w:r>
            <w:r w:rsidR="00F516C5" w:rsidRPr="00C6669B">
              <w:t xml:space="preserve"> </w:t>
            </w:r>
          </w:p>
          <w:p w14:paraId="34F57E7D" w14:textId="77777777" w:rsidR="00C40D76" w:rsidRPr="00C6669B" w:rsidRDefault="00C40D76" w:rsidP="00F516C5">
            <w:pPr>
              <w:jc w:val="both"/>
            </w:pPr>
          </w:p>
          <w:p w14:paraId="490257BA" w14:textId="2A6B660F" w:rsidR="00C40D76" w:rsidRPr="00C6669B" w:rsidRDefault="00C40D76" w:rsidP="00C40D76">
            <w:pPr>
              <w:contextualSpacing/>
              <w:jc w:val="both"/>
            </w:pPr>
            <w:r w:rsidRPr="00C6669B">
              <w:t xml:space="preserve">Action also required </w:t>
            </w:r>
            <w:r w:rsidR="0087308D" w:rsidRPr="00C6669B">
              <w:t>with</w:t>
            </w:r>
            <w:r w:rsidRPr="00C6669B">
              <w:t xml:space="preserve"> Nat West Yeovil </w:t>
            </w:r>
            <w:r w:rsidR="0087308D" w:rsidRPr="00C6669B">
              <w:t xml:space="preserve">in connection with </w:t>
            </w:r>
            <w:r w:rsidRPr="00C6669B">
              <w:t xml:space="preserve">new mandates to change the signatories on the current account. </w:t>
            </w:r>
            <w:r w:rsidR="0033380A" w:rsidRPr="00C6669B">
              <w:t xml:space="preserve"> Original paperwork submitted to NatWest in Yeovil was lost by them</w:t>
            </w:r>
            <w:r w:rsidR="00CA6BEB" w:rsidRPr="00C6669B">
              <w:t xml:space="preserve"> (twice)</w:t>
            </w:r>
            <w:r w:rsidR="0033380A" w:rsidRPr="00C6669B">
              <w:t xml:space="preserve"> and consequently not actioned.  New Mandates have been completed </w:t>
            </w:r>
            <w:r w:rsidR="0033380A" w:rsidRPr="00A67C64">
              <w:t xml:space="preserve">but a visit in person to Yeovil branch </w:t>
            </w:r>
            <w:r w:rsidR="007E0F4B" w:rsidRPr="00A67C64">
              <w:t xml:space="preserve">has established that this now </w:t>
            </w:r>
            <w:proofErr w:type="gramStart"/>
            <w:r w:rsidR="007E0F4B" w:rsidRPr="00A67C64">
              <w:t>has to</w:t>
            </w:r>
            <w:proofErr w:type="gramEnd"/>
            <w:r w:rsidR="007E0F4B" w:rsidRPr="00A67C64">
              <w:t xml:space="preserve"> be done </w:t>
            </w:r>
            <w:r w:rsidR="003358C3" w:rsidRPr="00A67C64">
              <w:t>online</w:t>
            </w:r>
            <w:r w:rsidR="007E0F4B">
              <w:t>.</w:t>
            </w:r>
            <w:r w:rsidR="0033380A" w:rsidRPr="00C6669B">
              <w:t xml:space="preserve"> </w:t>
            </w:r>
            <w:r w:rsidR="00CA6BEB" w:rsidRPr="00C6669B">
              <w:t>Trust</w:t>
            </w:r>
            <w:r w:rsidR="00A67C64">
              <w:t>ee/secretary</w:t>
            </w:r>
            <w:r w:rsidR="00CA6BEB" w:rsidRPr="00C6669B">
              <w:t xml:space="preserve"> now intend</w:t>
            </w:r>
            <w:r w:rsidR="00A67C64">
              <w:t>s</w:t>
            </w:r>
            <w:r w:rsidR="00CA6BEB" w:rsidRPr="00C6669B">
              <w:t xml:space="preserve"> to progress</w:t>
            </w:r>
            <w:r w:rsidR="00BA22EF">
              <w:t xml:space="preserve"> an online </w:t>
            </w:r>
            <w:r w:rsidR="00226972" w:rsidRPr="00C6669B">
              <w:t xml:space="preserve">  </w:t>
            </w:r>
          </w:p>
          <w:p w14:paraId="7BDF0142" w14:textId="77777777" w:rsidR="00F516C5" w:rsidRPr="00C6669B" w:rsidRDefault="00F516C5" w:rsidP="00F516C5">
            <w:pPr>
              <w:jc w:val="both"/>
            </w:pPr>
          </w:p>
        </w:tc>
      </w:tr>
      <w:tr w:rsidR="00C6669B" w:rsidRPr="00C6669B" w14:paraId="24724C9D" w14:textId="77777777" w:rsidTr="0033380A">
        <w:tc>
          <w:tcPr>
            <w:tcW w:w="1216" w:type="dxa"/>
          </w:tcPr>
          <w:p w14:paraId="1720A0FE" w14:textId="6E100674" w:rsidR="0087308D" w:rsidRPr="00C6669B" w:rsidRDefault="00E34B9C" w:rsidP="008B79F6">
            <w:pPr>
              <w:jc w:val="both"/>
            </w:pPr>
            <w:r>
              <w:t>5</w:t>
            </w:r>
            <w:r w:rsidR="00487B15">
              <w:t>.</w:t>
            </w:r>
          </w:p>
        </w:tc>
        <w:tc>
          <w:tcPr>
            <w:tcW w:w="7810" w:type="dxa"/>
          </w:tcPr>
          <w:p w14:paraId="59CCE4CC" w14:textId="049E4E0F" w:rsidR="0087308D" w:rsidRPr="00C6669B" w:rsidRDefault="007A1BE2" w:rsidP="00F516C5">
            <w:pPr>
              <w:jc w:val="both"/>
            </w:pPr>
            <w:r w:rsidRPr="00C6669B">
              <w:t xml:space="preserve">A meeting of the Trustees </w:t>
            </w:r>
            <w:r w:rsidR="008629FE">
              <w:t xml:space="preserve">was intended </w:t>
            </w:r>
            <w:r w:rsidR="00C662D8">
              <w:t>in the last year</w:t>
            </w:r>
            <w:r w:rsidRPr="00C6669B">
              <w:t xml:space="preserve"> to formally agree the closure of the </w:t>
            </w:r>
            <w:proofErr w:type="gramStart"/>
            <w:r w:rsidRPr="00C6669B">
              <w:t>Charity</w:t>
            </w:r>
            <w:proofErr w:type="gramEnd"/>
            <w:r w:rsidR="00C662D8">
              <w:t xml:space="preserve"> but this has not taken place.</w:t>
            </w:r>
            <w:r w:rsidRPr="00C6669B">
              <w:t xml:space="preserve">  The Charity Commission would require the funds to be transferred to a Charity with similar objects.  The current Trustees are Wendy Wheeler (Chair), Martin Eastment (Secretary), Janet Danks and John Burden.  </w:t>
            </w:r>
          </w:p>
        </w:tc>
      </w:tr>
      <w:tr w:rsidR="0087308D" w:rsidRPr="00C6669B" w14:paraId="6A9769D7" w14:textId="77777777" w:rsidTr="0033380A">
        <w:tc>
          <w:tcPr>
            <w:tcW w:w="1216" w:type="dxa"/>
          </w:tcPr>
          <w:p w14:paraId="6C62F653" w14:textId="77777777" w:rsidR="0087308D" w:rsidRPr="00C6669B" w:rsidRDefault="0087308D" w:rsidP="008B79F6">
            <w:pPr>
              <w:jc w:val="both"/>
            </w:pPr>
          </w:p>
        </w:tc>
        <w:tc>
          <w:tcPr>
            <w:tcW w:w="7810" w:type="dxa"/>
          </w:tcPr>
          <w:p w14:paraId="2B90BC60" w14:textId="77777777" w:rsidR="0087308D" w:rsidRPr="00C6669B" w:rsidRDefault="0087308D" w:rsidP="00F516C5">
            <w:pPr>
              <w:jc w:val="both"/>
            </w:pPr>
          </w:p>
        </w:tc>
      </w:tr>
    </w:tbl>
    <w:p w14:paraId="39FD68F4" w14:textId="77901384" w:rsidR="008B79F6" w:rsidRPr="00C6669B" w:rsidRDefault="008B79F6" w:rsidP="008B79F6">
      <w:pPr>
        <w:jc w:val="both"/>
      </w:pPr>
    </w:p>
    <w:p w14:paraId="4CA6434A" w14:textId="7C2D1F62" w:rsidR="0001213F" w:rsidRPr="00C6669B" w:rsidRDefault="0001213F" w:rsidP="0001213F">
      <w:pPr>
        <w:spacing w:after="0" w:line="240" w:lineRule="auto"/>
        <w:jc w:val="both"/>
      </w:pPr>
      <w:r w:rsidRPr="00C6669B">
        <w:t>Martin Eastment</w:t>
      </w:r>
    </w:p>
    <w:p w14:paraId="02F9FBDD" w14:textId="77777777" w:rsidR="0001213F" w:rsidRPr="00C6669B" w:rsidRDefault="0001213F" w:rsidP="0001213F">
      <w:pPr>
        <w:spacing w:after="0" w:line="240" w:lineRule="auto"/>
        <w:jc w:val="both"/>
      </w:pPr>
      <w:r w:rsidRPr="00C6669B">
        <w:t>Trustee/Secretary</w:t>
      </w:r>
    </w:p>
    <w:p w14:paraId="0E258428" w14:textId="77777777" w:rsidR="0001213F" w:rsidRPr="00C6669B" w:rsidRDefault="0001213F" w:rsidP="0001213F">
      <w:pPr>
        <w:spacing w:after="0" w:line="240" w:lineRule="auto"/>
        <w:jc w:val="both"/>
      </w:pPr>
      <w:r w:rsidRPr="00C6669B">
        <w:t>3 Barley Close</w:t>
      </w:r>
    </w:p>
    <w:p w14:paraId="55DCAC0A" w14:textId="77777777" w:rsidR="0001213F" w:rsidRPr="00C6669B" w:rsidRDefault="0001213F" w:rsidP="0001213F">
      <w:pPr>
        <w:spacing w:after="0" w:line="240" w:lineRule="auto"/>
        <w:jc w:val="both"/>
      </w:pPr>
      <w:proofErr w:type="spellStart"/>
      <w:r w:rsidRPr="00C6669B">
        <w:t>Melbury</w:t>
      </w:r>
      <w:proofErr w:type="spellEnd"/>
      <w:r w:rsidRPr="00C6669B">
        <w:t xml:space="preserve"> Osmond</w:t>
      </w:r>
    </w:p>
    <w:p w14:paraId="6A19F3A0" w14:textId="1236FEB8" w:rsidR="0001213F" w:rsidRDefault="0001213F" w:rsidP="0001213F">
      <w:pPr>
        <w:spacing w:after="0" w:line="240" w:lineRule="auto"/>
        <w:jc w:val="both"/>
      </w:pPr>
      <w:r w:rsidRPr="00C6669B">
        <w:t xml:space="preserve">DT2 0LY  </w:t>
      </w:r>
    </w:p>
    <w:p w14:paraId="6B7425A9" w14:textId="77777777" w:rsidR="00C6669B" w:rsidRDefault="00C6669B" w:rsidP="0001213F">
      <w:pPr>
        <w:spacing w:after="0" w:line="240" w:lineRule="auto"/>
        <w:jc w:val="both"/>
      </w:pPr>
    </w:p>
    <w:p w14:paraId="5F688466" w14:textId="77777777" w:rsidR="00C6669B" w:rsidRPr="00C6669B" w:rsidRDefault="00C6669B" w:rsidP="0001213F">
      <w:pPr>
        <w:spacing w:after="0" w:line="240" w:lineRule="auto"/>
        <w:jc w:val="both"/>
      </w:pPr>
    </w:p>
    <w:sectPr w:rsidR="00C6669B" w:rsidRPr="00C66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3C45"/>
    <w:multiLevelType w:val="hybridMultilevel"/>
    <w:tmpl w:val="C9346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3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F6"/>
    <w:rsid w:val="0001213F"/>
    <w:rsid w:val="0016496D"/>
    <w:rsid w:val="001944C1"/>
    <w:rsid w:val="00226972"/>
    <w:rsid w:val="00237191"/>
    <w:rsid w:val="002F2F8F"/>
    <w:rsid w:val="0033380A"/>
    <w:rsid w:val="003358C3"/>
    <w:rsid w:val="00394517"/>
    <w:rsid w:val="004804C2"/>
    <w:rsid w:val="004808BB"/>
    <w:rsid w:val="00487B15"/>
    <w:rsid w:val="00512117"/>
    <w:rsid w:val="005E766A"/>
    <w:rsid w:val="007A1BE2"/>
    <w:rsid w:val="007E0F4B"/>
    <w:rsid w:val="008629FE"/>
    <w:rsid w:val="0087308D"/>
    <w:rsid w:val="008B79F6"/>
    <w:rsid w:val="00986717"/>
    <w:rsid w:val="009C1F74"/>
    <w:rsid w:val="009C7C2C"/>
    <w:rsid w:val="00A67C64"/>
    <w:rsid w:val="00B13216"/>
    <w:rsid w:val="00B62BE2"/>
    <w:rsid w:val="00B63B8A"/>
    <w:rsid w:val="00B66EC8"/>
    <w:rsid w:val="00BA22EF"/>
    <w:rsid w:val="00C40D76"/>
    <w:rsid w:val="00C662D8"/>
    <w:rsid w:val="00C6669B"/>
    <w:rsid w:val="00CA6BEB"/>
    <w:rsid w:val="00DA6848"/>
    <w:rsid w:val="00E34B9C"/>
    <w:rsid w:val="00E632A8"/>
    <w:rsid w:val="00F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7BF3"/>
  <w15:docId w15:val="{9FD14EE4-C754-4865-B1F5-685BB6D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Crick</dc:creator>
  <cp:lastModifiedBy>Pauline Crick</cp:lastModifiedBy>
  <cp:revision>2</cp:revision>
  <cp:lastPrinted>2023-06-05T12:22:00Z</cp:lastPrinted>
  <dcterms:created xsi:type="dcterms:W3CDTF">2024-06-06T14:23:00Z</dcterms:created>
  <dcterms:modified xsi:type="dcterms:W3CDTF">2024-06-06T14:23:00Z</dcterms:modified>
</cp:coreProperties>
</file>